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429C" w:rsidRDefault="007048D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Supplementary Table </w:t>
      </w:r>
      <w:r>
        <w:rPr>
          <w:rFonts w:ascii="Times New Roman" w:hAnsi="Times New Roman" w:cs="Times New Roman"/>
          <w:b/>
          <w:bCs/>
        </w:rPr>
        <w:t xml:space="preserve">1. Variance inflation factors for predictors included in the final multivariable logistic regression model for </w:t>
      </w:r>
      <w:r>
        <w:rPr>
          <w:rFonts w:ascii="Times New Roman" w:hAnsi="Times New Roman" w:cs="Times New Roman"/>
          <w:b/>
          <w:bCs/>
        </w:rPr>
        <w:t>LNM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DD429C">
        <w:tc>
          <w:tcPr>
            <w:tcW w:w="426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Variable</w:t>
            </w:r>
          </w:p>
        </w:tc>
        <w:tc>
          <w:tcPr>
            <w:tcW w:w="426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VIF</w:t>
            </w:r>
          </w:p>
        </w:tc>
      </w:tr>
      <w:tr w:rsidR="00DD429C">
        <w:tc>
          <w:tcPr>
            <w:tcW w:w="42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cT3-4 stage</w:t>
            </w:r>
          </w:p>
        </w:tc>
        <w:tc>
          <w:tcPr>
            <w:tcW w:w="42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1.060</w:t>
            </w:r>
          </w:p>
        </w:tc>
      </w:tr>
      <w:tr w:rsidR="00DD429C"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Smoking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1.046</w:t>
            </w:r>
          </w:p>
        </w:tc>
      </w:tr>
      <w:tr w:rsidR="00DD429C"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NPAR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1.452</w:t>
            </w:r>
          </w:p>
        </w:tc>
      </w:tr>
      <w:tr w:rsidR="00DD429C">
        <w:tc>
          <w:tcPr>
            <w:tcW w:w="426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FAR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1.432</w:t>
            </w:r>
          </w:p>
        </w:tc>
      </w:tr>
    </w:tbl>
    <w:p w:rsidR="00DD429C" w:rsidRDefault="007048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Multicollinearity was assessed using variance </w:t>
      </w:r>
      <w:r>
        <w:rPr>
          <w:rFonts w:ascii="Times New Roman" w:hAnsi="Times New Roman" w:cs="Times New Roman"/>
        </w:rPr>
        <w:t>inflation factors (VIFs). A VIF &lt;5 was considered acceptable.</w:t>
      </w:r>
    </w:p>
    <w:p w:rsidR="00DD429C" w:rsidRDefault="00DD429C">
      <w:pPr>
        <w:rPr>
          <w:rFonts w:ascii="Times New Roman" w:hAnsi="Times New Roman" w:cs="Times New Roman"/>
        </w:rPr>
      </w:pPr>
    </w:p>
    <w:p w:rsidR="00DD429C" w:rsidRDefault="007048D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Supplementary Table </w:t>
      </w:r>
      <w:r>
        <w:rPr>
          <w:rFonts w:ascii="Times New Roman" w:hAnsi="Times New Roman" w:cs="Times New Roman" w:hint="eastAsia"/>
          <w:b/>
          <w:bCs/>
        </w:rPr>
        <w:t>2. Results of the Box</w:t>
      </w:r>
      <w:r>
        <w:rPr>
          <w:rFonts w:ascii="Times New Roman" w:hAnsi="Times New Roman" w:cs="Times New Roman" w:hint="eastAsia"/>
          <w:b/>
          <w:bCs/>
        </w:rPr>
        <w:t>–</w:t>
      </w:r>
      <w:r>
        <w:rPr>
          <w:rFonts w:ascii="Times New Roman" w:hAnsi="Times New Roman" w:cs="Times New Roman" w:hint="eastAsia"/>
          <w:b/>
          <w:bCs/>
        </w:rPr>
        <w:t>Tidwell test for the LNM model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741"/>
        <w:gridCol w:w="1741"/>
        <w:gridCol w:w="1909"/>
        <w:gridCol w:w="1564"/>
        <w:gridCol w:w="1564"/>
      </w:tblGrid>
      <w:tr w:rsidR="00DD429C">
        <w:trPr>
          <w:trHeight w:val="280"/>
        </w:trPr>
        <w:tc>
          <w:tcPr>
            <w:tcW w:w="102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bidi="ar"/>
              </w:rPr>
              <w:t>Variable</w:t>
            </w:r>
          </w:p>
        </w:tc>
        <w:tc>
          <w:tcPr>
            <w:tcW w:w="102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bidi="ar"/>
              </w:rPr>
              <w:t>Estimate</w:t>
            </w:r>
          </w:p>
        </w:tc>
        <w:tc>
          <w:tcPr>
            <w:tcW w:w="1120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bidi="ar"/>
              </w:rPr>
              <w:t>Std_Error</w:t>
            </w:r>
            <w:proofErr w:type="spellEnd"/>
          </w:p>
        </w:tc>
        <w:tc>
          <w:tcPr>
            <w:tcW w:w="918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bidi="ar"/>
              </w:rPr>
              <w:t>z_value</w:t>
            </w:r>
            <w:proofErr w:type="spellEnd"/>
          </w:p>
        </w:tc>
        <w:tc>
          <w:tcPr>
            <w:tcW w:w="918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Times New Roman" w:eastAsia="宋体" w:hAnsi="Times New Roman" w:cs="Times New Roman"/>
                <w:b/>
                <w:bCs/>
                <w:i/>
                <w:iCs/>
                <w:color w:val="000000"/>
                <w:kern w:val="0"/>
                <w:szCs w:val="21"/>
                <w:lang w:bidi="ar"/>
              </w:rPr>
              <w:t>P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bidi="ar"/>
              </w:rPr>
              <w:t>_value</w:t>
            </w:r>
            <w:proofErr w:type="spellEnd"/>
          </w:p>
        </w:tc>
      </w:tr>
      <w:tr w:rsidR="00DD429C">
        <w:trPr>
          <w:trHeight w:val="280"/>
        </w:trPr>
        <w:tc>
          <w:tcPr>
            <w:tcW w:w="102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NPAR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-0.092</w:t>
            </w:r>
          </w:p>
        </w:tc>
        <w:tc>
          <w:tcPr>
            <w:tcW w:w="112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0.557</w:t>
            </w:r>
          </w:p>
        </w:tc>
        <w:tc>
          <w:tcPr>
            <w:tcW w:w="91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-0.165</w:t>
            </w:r>
          </w:p>
        </w:tc>
        <w:tc>
          <w:tcPr>
            <w:tcW w:w="91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0.869</w:t>
            </w:r>
          </w:p>
        </w:tc>
      </w:tr>
      <w:tr w:rsidR="00DD429C">
        <w:trPr>
          <w:trHeight w:val="280"/>
        </w:trPr>
        <w:tc>
          <w:tcPr>
            <w:tcW w:w="1021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FAR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-0.0739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0.430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-0.172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0.864</w:t>
            </w:r>
          </w:p>
        </w:tc>
      </w:tr>
    </w:tbl>
    <w:p w:rsidR="00DD429C" w:rsidRDefault="007048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i/>
          <w:iCs/>
        </w:rPr>
        <w:t>P</w:t>
      </w:r>
      <w:r>
        <w:rPr>
          <w:rFonts w:ascii="Times New Roman" w:hAnsi="Times New Roman" w:cs="Times New Roman" w:hint="eastAsia"/>
        </w:rPr>
        <w:t>＞</w:t>
      </w:r>
      <w:r>
        <w:rPr>
          <w:rFonts w:ascii="Times New Roman" w:hAnsi="Times New Roman" w:cs="Times New Roman" w:hint="eastAsia"/>
        </w:rPr>
        <w:t>0.05, no</w:t>
      </w:r>
      <w:r>
        <w:rPr>
          <w:rFonts w:ascii="Times New Roman" w:hAnsi="Times New Roman" w:cs="Times New Roman" w:hint="eastAsia"/>
        </w:rPr>
        <w:t xml:space="preserve"> significant violations of the linearity assumption of the logit model were found.</w:t>
      </w:r>
    </w:p>
    <w:p w:rsidR="00DD429C" w:rsidRDefault="00DD429C">
      <w:pPr>
        <w:rPr>
          <w:rFonts w:ascii="Times New Roman" w:hAnsi="Times New Roman" w:cs="Times New Roman"/>
        </w:rPr>
      </w:pPr>
    </w:p>
    <w:p w:rsidR="00DD429C" w:rsidRDefault="00DD429C">
      <w:pPr>
        <w:rPr>
          <w:rFonts w:ascii="Times New Roman" w:hAnsi="Times New Roman" w:cs="Times New Roman"/>
        </w:rPr>
      </w:pPr>
    </w:p>
    <w:p w:rsidR="00DD429C" w:rsidRDefault="007048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114300" distR="114300">
            <wp:extent cx="5273675" cy="2552065"/>
            <wp:effectExtent l="0" t="0" r="9525" b="635"/>
            <wp:docPr id="1" name="图片 1" descr="LNM_logit_linearity_BoxTidwell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NM_logit_linearity_BoxTidwell 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55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429C" w:rsidRDefault="007048D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Supplementary Fig</w:t>
      </w:r>
      <w:r w:rsidR="006E7F99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 w:hint="eastAsia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LNM Model: Empirical Logit Plot</w:t>
      </w:r>
    </w:p>
    <w:p w:rsidR="00DD429C" w:rsidRDefault="00DD429C">
      <w:pPr>
        <w:rPr>
          <w:rFonts w:ascii="Times New Roman" w:hAnsi="Times New Roman" w:cs="Times New Roman"/>
        </w:rPr>
      </w:pPr>
    </w:p>
    <w:p w:rsidR="00DD429C" w:rsidRDefault="00DD429C">
      <w:pPr>
        <w:rPr>
          <w:rFonts w:ascii="Times New Roman" w:hAnsi="Times New Roman" w:cs="Times New Roman"/>
        </w:rPr>
      </w:pPr>
    </w:p>
    <w:p w:rsidR="00DD429C" w:rsidRDefault="007048D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Supplementary Table </w:t>
      </w:r>
      <w:r>
        <w:rPr>
          <w:rFonts w:ascii="Times New Roman" w:hAnsi="Times New Roman" w:cs="Times New Roman" w:hint="eastAsia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 Variance inflation factors for predictors included in the final multivariable logistic</w:t>
      </w:r>
      <w:r>
        <w:rPr>
          <w:rFonts w:ascii="Times New Roman" w:hAnsi="Times New Roman" w:cs="Times New Roman"/>
          <w:b/>
          <w:bCs/>
        </w:rPr>
        <w:t xml:space="preserve"> regression model for </w:t>
      </w:r>
      <w:r>
        <w:rPr>
          <w:rFonts w:ascii="Times New Roman" w:hAnsi="Times New Roman" w:cs="Times New Roman"/>
          <w:b/>
          <w:bCs/>
        </w:rPr>
        <w:t>POGD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DD429C">
        <w:tc>
          <w:tcPr>
            <w:tcW w:w="426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Variable</w:t>
            </w:r>
          </w:p>
        </w:tc>
        <w:tc>
          <w:tcPr>
            <w:tcW w:w="426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VIF</w:t>
            </w:r>
          </w:p>
        </w:tc>
      </w:tr>
      <w:tr w:rsidR="00DD429C">
        <w:tc>
          <w:tcPr>
            <w:tcW w:w="42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surgical approach (open)</w:t>
            </w:r>
          </w:p>
        </w:tc>
        <w:tc>
          <w:tcPr>
            <w:tcW w:w="42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1.056</w:t>
            </w:r>
          </w:p>
        </w:tc>
      </w:tr>
      <w:tr w:rsidR="00DD429C"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Smoking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1.001</w:t>
            </w:r>
          </w:p>
        </w:tc>
      </w:tr>
      <w:tr w:rsidR="00DD429C"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Operative time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1.064</w:t>
            </w:r>
          </w:p>
        </w:tc>
      </w:tr>
      <w:tr w:rsidR="00DD429C">
        <w:tc>
          <w:tcPr>
            <w:tcW w:w="426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NPAR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DD429C" w:rsidRDefault="00704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1.009</w:t>
            </w:r>
          </w:p>
        </w:tc>
      </w:tr>
    </w:tbl>
    <w:p w:rsidR="00DD429C" w:rsidRDefault="007048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Multicollinearity was assessed using variance inflation factors (VIFs). A VIF &lt;5 was considered acceptable.</w:t>
      </w:r>
    </w:p>
    <w:p w:rsidR="00DD429C" w:rsidRDefault="00DD429C">
      <w:pPr>
        <w:rPr>
          <w:rFonts w:ascii="Times New Roman" w:hAnsi="Times New Roman" w:cs="Times New Roman"/>
        </w:rPr>
      </w:pPr>
    </w:p>
    <w:p w:rsidR="00DD429C" w:rsidRDefault="007048D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Supplementary Table </w:t>
      </w:r>
      <w:r>
        <w:rPr>
          <w:rFonts w:ascii="Times New Roman" w:hAnsi="Times New Roman" w:cs="Times New Roman" w:hint="eastAsia"/>
          <w:b/>
          <w:bCs/>
        </w:rPr>
        <w:t xml:space="preserve">4. </w:t>
      </w:r>
      <w:r>
        <w:rPr>
          <w:rFonts w:ascii="Times New Roman" w:hAnsi="Times New Roman" w:cs="Times New Roman" w:hint="eastAsia"/>
          <w:b/>
          <w:bCs/>
        </w:rPr>
        <w:t>Results of the Box</w:t>
      </w:r>
      <w:r>
        <w:rPr>
          <w:rFonts w:ascii="Times New Roman" w:hAnsi="Times New Roman" w:cs="Times New Roman" w:hint="eastAsia"/>
          <w:b/>
          <w:bCs/>
        </w:rPr>
        <w:t>–</w:t>
      </w:r>
      <w:r>
        <w:rPr>
          <w:rFonts w:ascii="Times New Roman" w:hAnsi="Times New Roman" w:cs="Times New Roman" w:hint="eastAsia"/>
          <w:b/>
          <w:bCs/>
        </w:rPr>
        <w:t>Tidwell test for the POGD model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671"/>
        <w:gridCol w:w="1671"/>
        <w:gridCol w:w="1838"/>
        <w:gridCol w:w="1501"/>
        <w:gridCol w:w="1501"/>
        <w:gridCol w:w="337"/>
      </w:tblGrid>
      <w:tr w:rsidR="00DD429C">
        <w:trPr>
          <w:trHeight w:val="280"/>
        </w:trPr>
        <w:tc>
          <w:tcPr>
            <w:tcW w:w="980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bidi="ar"/>
              </w:rPr>
              <w:lastRenderedPageBreak/>
              <w:t>Variable</w:t>
            </w:r>
          </w:p>
        </w:tc>
        <w:tc>
          <w:tcPr>
            <w:tcW w:w="980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bidi="ar"/>
              </w:rPr>
              <w:t>Estimate</w:t>
            </w:r>
          </w:p>
        </w:tc>
        <w:tc>
          <w:tcPr>
            <w:tcW w:w="1078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bidi="ar"/>
              </w:rPr>
              <w:t>Std_Error</w:t>
            </w:r>
            <w:proofErr w:type="spellEnd"/>
          </w:p>
        </w:tc>
        <w:tc>
          <w:tcPr>
            <w:tcW w:w="88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bidi="ar"/>
              </w:rPr>
              <w:t>z_value</w:t>
            </w:r>
            <w:proofErr w:type="spellEnd"/>
          </w:p>
        </w:tc>
        <w:tc>
          <w:tcPr>
            <w:tcW w:w="88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Times New Roman" w:eastAsia="宋体" w:hAnsi="Times New Roman" w:cs="Times New Roman"/>
                <w:b/>
                <w:bCs/>
                <w:i/>
                <w:iCs/>
                <w:color w:val="000000"/>
                <w:kern w:val="0"/>
                <w:szCs w:val="21"/>
                <w:lang w:bidi="ar"/>
              </w:rPr>
              <w:t>P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bidi="ar"/>
              </w:rPr>
              <w:t>_value</w:t>
            </w:r>
            <w:proofErr w:type="spellEnd"/>
          </w:p>
        </w:tc>
        <w:tc>
          <w:tcPr>
            <w:tcW w:w="198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DD429C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DD429C">
        <w:trPr>
          <w:trHeight w:val="280"/>
        </w:trPr>
        <w:tc>
          <w:tcPr>
            <w:tcW w:w="98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Age</w:t>
            </w:r>
          </w:p>
        </w:tc>
        <w:tc>
          <w:tcPr>
            <w:tcW w:w="98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0.566</w:t>
            </w:r>
          </w:p>
        </w:tc>
        <w:tc>
          <w:tcPr>
            <w:tcW w:w="107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0.273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2.073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0.038</w:t>
            </w:r>
          </w:p>
        </w:tc>
        <w:tc>
          <w:tcPr>
            <w:tcW w:w="19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D429C" w:rsidRDefault="00DD429C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DD429C">
        <w:trPr>
          <w:trHeight w:val="280"/>
        </w:trPr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Operative time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-0.015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0.199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-0.0773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0.938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D429C" w:rsidRDefault="00DD429C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DD429C">
        <w:trPr>
          <w:trHeight w:val="280"/>
        </w:trPr>
        <w:tc>
          <w:tcPr>
            <w:tcW w:w="980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NPAR</w:t>
            </w:r>
          </w:p>
        </w:tc>
        <w:tc>
          <w:tcPr>
            <w:tcW w:w="980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-0.163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0.475</w:t>
            </w:r>
          </w:p>
        </w:tc>
        <w:tc>
          <w:tcPr>
            <w:tcW w:w="881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-0.343</w:t>
            </w:r>
          </w:p>
        </w:tc>
        <w:tc>
          <w:tcPr>
            <w:tcW w:w="881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7048D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0.732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:rsidR="00DD429C" w:rsidRDefault="00DD429C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</w:tbl>
    <w:p w:rsidR="00DD429C" w:rsidRDefault="007048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P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0.05</w:t>
      </w:r>
      <w:r>
        <w:rPr>
          <w:rFonts w:ascii="Times New Roman" w:hAnsi="Times New Roman" w:cs="Times New Roman" w:hint="eastAsia"/>
        </w:rPr>
        <w:t>, n</w:t>
      </w:r>
      <w:r>
        <w:rPr>
          <w:rFonts w:ascii="Times New Roman" w:hAnsi="Times New Roman" w:cs="Times New Roman"/>
        </w:rPr>
        <w:t xml:space="preserve">o significant violations of the linearity </w:t>
      </w:r>
      <w:r>
        <w:rPr>
          <w:rFonts w:ascii="Times New Roman" w:hAnsi="Times New Roman" w:cs="Times New Roman"/>
        </w:rPr>
        <w:t>assumption of the logit model were found.</w:t>
      </w:r>
    </w:p>
    <w:p w:rsidR="00DD429C" w:rsidRDefault="00DD429C">
      <w:pPr>
        <w:rPr>
          <w:rFonts w:ascii="Times New Roman" w:hAnsi="Times New Roman" w:cs="Times New Roman"/>
        </w:rPr>
      </w:pPr>
    </w:p>
    <w:p w:rsidR="00DD429C" w:rsidRDefault="00DD429C">
      <w:pPr>
        <w:rPr>
          <w:rFonts w:ascii="Times New Roman" w:hAnsi="Times New Roman" w:cs="Times New Roman"/>
        </w:rPr>
      </w:pPr>
    </w:p>
    <w:p w:rsidR="00DD429C" w:rsidRDefault="007048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114300" distR="114300">
            <wp:extent cx="5271135" cy="1708150"/>
            <wp:effectExtent l="0" t="0" r="12065" b="6350"/>
            <wp:docPr id="2" name="图片 2" descr="POGD_logit_linearity_BoxTidwe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POGD_logit_linearity_BoxTidwell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70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429C" w:rsidRDefault="007048D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Supplementary Fig</w:t>
      </w:r>
      <w:r w:rsidR="006E7F99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 w:hint="eastAsia"/>
          <w:b/>
          <w:bCs/>
        </w:rPr>
        <w:t>2.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POGD</w:t>
      </w:r>
      <w:r>
        <w:rPr>
          <w:rFonts w:ascii="Times New Roman" w:hAnsi="Times New Roman" w:cs="Times New Roman"/>
          <w:b/>
          <w:bCs/>
        </w:rPr>
        <w:t xml:space="preserve"> Model: Empirical Logit Plot</w:t>
      </w:r>
    </w:p>
    <w:p w:rsidR="00DD429C" w:rsidRDefault="00DD429C">
      <w:pPr>
        <w:rPr>
          <w:rFonts w:ascii="Times New Roman" w:hAnsi="Times New Roman" w:cs="Times New Roman"/>
        </w:rPr>
      </w:pPr>
    </w:p>
    <w:sectPr w:rsidR="00DD42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48DF" w:rsidRDefault="007048DF" w:rsidP="006E7F99">
      <w:r>
        <w:separator/>
      </w:r>
    </w:p>
  </w:endnote>
  <w:endnote w:type="continuationSeparator" w:id="0">
    <w:p w:rsidR="007048DF" w:rsidRDefault="007048DF" w:rsidP="006E7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48DF" w:rsidRDefault="007048DF" w:rsidP="006E7F99">
      <w:r>
        <w:separator/>
      </w:r>
    </w:p>
  </w:footnote>
  <w:footnote w:type="continuationSeparator" w:id="0">
    <w:p w:rsidR="007048DF" w:rsidRDefault="007048DF" w:rsidP="006E7F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4C236C0"/>
    <w:rsid w:val="006E7F99"/>
    <w:rsid w:val="007048DF"/>
    <w:rsid w:val="00DD429C"/>
    <w:rsid w:val="213276BA"/>
    <w:rsid w:val="3CDC4390"/>
    <w:rsid w:val="6EEC1689"/>
    <w:rsid w:val="74C236C0"/>
    <w:rsid w:val="7ECE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A68609"/>
  <w15:docId w15:val="{D6C12AF0-4A8F-4D34-B6B6-3988962F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E7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E7F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6E7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E7F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海棠海棠</dc:creator>
  <cp:lastModifiedBy>Chelsea Chew</cp:lastModifiedBy>
  <cp:revision>2</cp:revision>
  <dcterms:created xsi:type="dcterms:W3CDTF">2026-03-18T06:20:00Z</dcterms:created>
  <dcterms:modified xsi:type="dcterms:W3CDTF">2026-04-08T03:22:00Z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C67271EC77E54FC598A0AD4FCB168D59_13</vt:lpwstr>
  </property>
  <property fmtid="{D5CDD505-2E9C-101B-9397-08002B2CF9AE}" pid="4" name="KSOTemplateDocerSaveRecord">
    <vt:lpwstr>eyJoZGlkIjoiNmQwNDk2NjZjZWRhNmM4MTMwNmJkOTYzZjMzZGQyZGMiLCJ1c2VySWQiOiIyNTgxMTMzMzQifQ==</vt:lpwstr>
  </property>
</Properties>
</file>